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48C08AE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</w:t>
      </w:r>
      <w:r w:rsidR="00DC0255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DC0255">
        <w:rPr>
          <w:rFonts w:ascii="Garamond" w:hAnsi="Garamond"/>
          <w:color w:val="1F3864" w:themeColor="accent1" w:themeShade="80"/>
          <w:sz w:val="24"/>
          <w:szCs w:val="24"/>
        </w:rPr>
        <w:t>4 e ss.mm.ii.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nel Regime 2: “Mero rispetto del “do no significant harm”,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98EFDF2" w14:textId="4AF732A2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 w14:paraId="3DB0FE10" w14:textId="16F091D7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 w14:paraId="4A0F7AC9" w14:textId="7236FE7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 w14:paraId="4EE65C17" w14:textId="32290D7F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 w14:paraId="7667CDD9" w14:textId="1588546B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 w14:paraId="0750E277" w14:textId="722A2BE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 w14:paraId="450CA09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37D491A1" w14:textId="05A9D96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elettroniche;</w:t>
      </w:r>
    </w:p>
    <w:p w14:paraId="70E397BD" w14:textId="18F18C60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Check-list 4: Acquisto, Leasing, Noleggio di apparecchiature elettriche ed elettroniche utilizzate nel settore sanitario;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6D91E8B7" w14:textId="1A3010F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 w14:paraId="1199B5CF" w14:textId="6CA71ABA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 w14:paraId="50E08D75" w14:textId="203CB92B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</w:t>
      </w:r>
      <w:r w:rsidR="008B778D">
        <w:rPr>
          <w:rFonts w:ascii="Garamond" w:hAnsi="Garamond"/>
          <w:color w:val="1F3864" w:themeColor="accent1" w:themeShade="80"/>
          <w:sz w:val="24"/>
          <w:szCs w:val="24"/>
        </w:rPr>
        <w:t>, Leasing e Noleggio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di veicoli</w:t>
      </w:r>
      <w:r w:rsidR="00325425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come individuati nelle Istruzioni operative DNSH del MLPS (la documentazione a sostegno di quanto 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CCCC" w14:textId="77777777" w:rsidR="00DA2888" w:rsidRDefault="00DA2888" w:rsidP="004B059C">
      <w:pPr>
        <w:spacing w:after="0" w:line="240" w:lineRule="auto"/>
      </w:pPr>
      <w:r>
        <w:separator/>
      </w:r>
    </w:p>
  </w:endnote>
  <w:endnote w:type="continuationSeparator" w:id="0">
    <w:p w14:paraId="2E9DA342" w14:textId="77777777" w:rsidR="00DA2888" w:rsidRDefault="00DA2888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8864" w14:textId="77777777" w:rsidR="00DA2888" w:rsidRDefault="00DA2888" w:rsidP="004B059C">
      <w:pPr>
        <w:spacing w:after="0" w:line="240" w:lineRule="auto"/>
      </w:pPr>
      <w:r>
        <w:separator/>
      </w:r>
    </w:p>
  </w:footnote>
  <w:footnote w:type="continuationSeparator" w:id="0">
    <w:p w14:paraId="23A9F09C" w14:textId="77777777" w:rsidR="00DA2888" w:rsidRDefault="00DA2888" w:rsidP="004B059C">
      <w:pPr>
        <w:spacing w:after="0" w:line="240" w:lineRule="auto"/>
      </w:pPr>
      <w:r>
        <w:continuationSeparator/>
      </w:r>
    </w:p>
  </w:footnote>
  <w:footnote w:id="1">
    <w:p w14:paraId="7B63A1AD" w14:textId="1984FD85" w:rsidR="00171699" w:rsidRPr="00171699" w:rsidRDefault="00171699">
      <w:pPr>
        <w:pStyle w:val="Testonotaapidipagina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</w:t>
      </w:r>
      <w:r w:rsidR="00DC0255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</w:t>
      </w:r>
      <w:r w:rsidR="00DC0255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MEF-RGS n. 33/2022</w:t>
      </w:r>
      <w:r w:rsidR="00DC0255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e n. 22/2024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, la stessa non sia stata prodotta e caricata sul sistema ReGiS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A1D6C"/>
    <w:rsid w:val="00325425"/>
    <w:rsid w:val="004B059C"/>
    <w:rsid w:val="006C5ECA"/>
    <w:rsid w:val="008B778D"/>
    <w:rsid w:val="00A21B04"/>
    <w:rsid w:val="00AE06B1"/>
    <w:rsid w:val="00B574D7"/>
    <w:rsid w:val="00DA2888"/>
    <w:rsid w:val="00DC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4</cp:revision>
  <dcterms:created xsi:type="dcterms:W3CDTF">2023-10-19T09:11:00Z</dcterms:created>
  <dcterms:modified xsi:type="dcterms:W3CDTF">2024-11-22T09:24:00Z</dcterms:modified>
</cp:coreProperties>
</file>